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7C64A5" w:rsidRPr="00940C71" w:rsidRDefault="007C64A5" w:rsidP="00940C71">
          <w:pPr>
            <w:tabs>
              <w:tab w:val="left" w:pos="2340"/>
              <w:tab w:val="right" w:pos="8280"/>
            </w:tabs>
            <w:spacing w:before="100" w:after="100" w:line="300" w:lineRule="atLeast"/>
            <w:jc w:val="center"/>
            <w:rPr>
              <w:rFonts w:ascii="Arial" w:hAnsi="Arial" w:cs="Arial"/>
              <w:sz w:val="32"/>
              <w:szCs w:val="32"/>
            </w:rPr>
          </w:pPr>
        </w:p>
        <w:p w:rsidR="001B7AFE" w:rsidRPr="00F72FC3" w:rsidRDefault="006502A4" w:rsidP="00940C71">
          <w:pPr>
            <w:tabs>
              <w:tab w:val="left" w:pos="2340"/>
              <w:tab w:val="right" w:pos="8280"/>
            </w:tabs>
            <w:spacing w:before="100" w:after="100" w:line="300" w:lineRule="atLeast"/>
            <w:jc w:val="center"/>
            <w:rPr>
              <w:rFonts w:ascii="Arial" w:hAnsi="Arial" w:cs="Arial"/>
              <w:sz w:val="32"/>
              <w:szCs w:val="32"/>
              <w:u w:val="single"/>
            </w:rPr>
          </w:pPr>
          <w:r>
            <w:rPr>
              <w:rFonts w:ascii="Arial" w:hAnsi="Arial" w:cs="Arial"/>
              <w:sz w:val="32"/>
              <w:szCs w:val="32"/>
              <w:u w:val="single"/>
            </w:rPr>
            <w:t xml:space="preserve">Cyber Security Policy </w:t>
          </w:r>
          <w:r w:rsidR="00F72FC3" w:rsidRPr="00F72FC3">
            <w:rPr>
              <w:rFonts w:ascii="Arial" w:hAnsi="Arial" w:cs="Arial"/>
              <w:sz w:val="32"/>
              <w:szCs w:val="32"/>
              <w:u w:val="single"/>
            </w:rPr>
            <w:t xml:space="preserve"> </w:t>
          </w:r>
        </w:p>
        <w:p w:rsidR="00FE64C6" w:rsidRPr="00940C71" w:rsidRDefault="00F40CF6" w:rsidP="00940C71">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 xml:space="preserve">AM </w:t>
          </w:r>
          <w:r w:rsidR="006502A4">
            <w:rPr>
              <w:rFonts w:ascii="Arial" w:hAnsi="Arial" w:cs="Arial"/>
              <w:sz w:val="32"/>
              <w:szCs w:val="32"/>
            </w:rPr>
            <w:t>–</w:t>
          </w:r>
          <w:r>
            <w:rPr>
              <w:rFonts w:ascii="Arial" w:hAnsi="Arial" w:cs="Arial"/>
              <w:sz w:val="32"/>
              <w:szCs w:val="32"/>
            </w:rPr>
            <w:t xml:space="preserve"> </w:t>
          </w:r>
          <w:r w:rsidR="00817FDD">
            <w:rPr>
              <w:rFonts w:ascii="Arial" w:hAnsi="Arial" w:cs="Arial"/>
              <w:sz w:val="32"/>
              <w:szCs w:val="32"/>
            </w:rPr>
            <w:t>2106</w:t>
          </w: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F40CF6" w:rsidRDefault="004D6484" w:rsidP="004D6484">
      <w:pPr>
        <w:pStyle w:val="Body"/>
        <w:spacing w:line="240" w:lineRule="auto"/>
        <w:rPr>
          <w:sz w:val="20"/>
        </w:rPr>
      </w:pPr>
      <w:r w:rsidRPr="00F40CF6">
        <w:rPr>
          <w:sz w:val="20"/>
        </w:rPr>
        <w:t>Tenderers should submit a technical proposal, up to a maximum of six (6) pages plus</w:t>
      </w:r>
      <w:r w:rsidR="009554AA" w:rsidRPr="00F40CF6">
        <w:rPr>
          <w:sz w:val="20"/>
        </w:rPr>
        <w:t xml:space="preserve"> </w:t>
      </w:r>
      <w:r w:rsidRPr="00F40CF6">
        <w:rPr>
          <w:sz w:val="20"/>
        </w:rPr>
        <w:t xml:space="preserve">required annexes, which substantively and individually address the selection criteria below. </w:t>
      </w:r>
      <w:bookmarkStart w:id="0" w:name="_Toc66162812"/>
      <w:bookmarkStart w:id="1" w:name="_Toc66960911"/>
      <w:bookmarkStart w:id="2" w:name="_Toc128558356"/>
      <w:bookmarkStart w:id="3" w:name="_Toc128558487"/>
      <w:bookmarkStart w:id="4" w:name="_Toc128558762"/>
      <w:r w:rsidRPr="00F40CF6">
        <w:rPr>
          <w:sz w:val="20"/>
        </w:rPr>
        <w:t>Each category should be addressed individually, considering each point</w:t>
      </w:r>
      <w:bookmarkEnd w:id="0"/>
      <w:bookmarkEnd w:id="1"/>
      <w:bookmarkEnd w:id="2"/>
      <w:bookmarkEnd w:id="3"/>
      <w:bookmarkEnd w:id="4"/>
      <w:r w:rsidRPr="00F40CF6">
        <w:rPr>
          <w:sz w:val="20"/>
        </w:rPr>
        <w:t xml:space="preserve"> detailed in Part D of the RFT.</w:t>
      </w:r>
    </w:p>
    <w:p w:rsidR="004D6484" w:rsidRPr="00F40CF6" w:rsidRDefault="004D6484" w:rsidP="004D6484">
      <w:pPr>
        <w:pStyle w:val="ListParagraph"/>
        <w:rPr>
          <w:rFonts w:ascii="Arial" w:hAnsi="Arial" w:cs="Arial"/>
          <w:sz w:val="20"/>
          <w:szCs w:val="20"/>
        </w:rPr>
      </w:pP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Capacity and training experience: 20% of the technical assessment</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iv as identified in Part D of the RFT </w:t>
      </w: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 xml:space="preserve">Response to course specification: 50% of the technical assessment </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v as identified in Part D of the RFT </w:t>
      </w:r>
    </w:p>
    <w:p w:rsidR="004D6484" w:rsidRPr="00F40CF6" w:rsidRDefault="004D6484" w:rsidP="004D6484">
      <w:pPr>
        <w:pStyle w:val="ListParagraph"/>
        <w:numPr>
          <w:ilvl w:val="0"/>
          <w:numId w:val="7"/>
        </w:numPr>
        <w:rPr>
          <w:rFonts w:ascii="Arial" w:hAnsi="Arial" w:cs="Arial"/>
          <w:sz w:val="20"/>
          <w:szCs w:val="20"/>
        </w:rPr>
      </w:pPr>
      <w:r w:rsidRPr="00F40CF6">
        <w:rPr>
          <w:rFonts w:ascii="Arial" w:hAnsi="Arial" w:cs="Arial"/>
          <w:sz w:val="20"/>
          <w:szCs w:val="20"/>
        </w:rPr>
        <w:t xml:space="preserve">Core personnel: 30% of the technical assessment  </w:t>
      </w:r>
    </w:p>
    <w:p w:rsidR="004D6484" w:rsidRPr="00F40CF6" w:rsidRDefault="004D6484" w:rsidP="004D6484">
      <w:pPr>
        <w:pStyle w:val="ListParagraph"/>
        <w:numPr>
          <w:ilvl w:val="1"/>
          <w:numId w:val="7"/>
        </w:numPr>
        <w:rPr>
          <w:rFonts w:ascii="Arial" w:hAnsi="Arial" w:cs="Arial"/>
          <w:sz w:val="20"/>
          <w:szCs w:val="20"/>
        </w:rPr>
      </w:pPr>
      <w:r w:rsidRPr="00F40CF6">
        <w:rPr>
          <w:rFonts w:ascii="Arial" w:hAnsi="Arial" w:cs="Arial"/>
          <w:sz w:val="20"/>
          <w:szCs w:val="20"/>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3F62B6"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bookmarkStart w:id="5" w:name="_GoBack"/>
      <w:bookmarkEnd w:id="5"/>
    </w:p>
    <w:sectPr w:rsidR="00A002B6" w:rsidRPr="00E371DB" w:rsidSect="00A948C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99" w:rsidRDefault="00207199" w:rsidP="00A002B6">
      <w:pPr>
        <w:spacing w:after="0" w:line="240" w:lineRule="auto"/>
      </w:pPr>
      <w:r>
        <w:separator/>
      </w:r>
    </w:p>
  </w:endnote>
  <w:endnote w:type="continuationSeparator" w:id="0">
    <w:p w:rsidR="00207199" w:rsidRDefault="00207199"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DD" w:rsidRDefault="00817FDD" w:rsidP="00817FDD">
    <w:pPr>
      <w:pStyle w:val="Footer"/>
    </w:pPr>
    <w:r>
      <w:t>AM – 2106 – Technical Proposal</w:t>
    </w:r>
  </w:p>
  <w:p w:rsidR="00817FDD" w:rsidRDefault="00817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F6" w:rsidRDefault="00F40CF6">
    <w:pPr>
      <w:pStyle w:val="Footer"/>
    </w:pPr>
    <w:r>
      <w:t>AM – 2</w:t>
    </w:r>
    <w:r w:rsidR="00817FDD">
      <w:t>106</w:t>
    </w:r>
    <w:r>
      <w:t xml:space="preserve"> – Technical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99" w:rsidRDefault="00207199" w:rsidP="00A002B6">
      <w:pPr>
        <w:spacing w:after="0" w:line="240" w:lineRule="auto"/>
      </w:pPr>
      <w:r>
        <w:separator/>
      </w:r>
    </w:p>
  </w:footnote>
  <w:footnote w:type="continuationSeparator" w:id="0">
    <w:p w:rsidR="00207199" w:rsidRDefault="00207199"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B6"/>
    <w:rsid w:val="0000529F"/>
    <w:rsid w:val="00013B78"/>
    <w:rsid w:val="00034D14"/>
    <w:rsid w:val="00040342"/>
    <w:rsid w:val="000A6E64"/>
    <w:rsid w:val="001B4439"/>
    <w:rsid w:val="001B7AFE"/>
    <w:rsid w:val="001D6CFB"/>
    <w:rsid w:val="00207199"/>
    <w:rsid w:val="002140BD"/>
    <w:rsid w:val="00214B5C"/>
    <w:rsid w:val="00217ABC"/>
    <w:rsid w:val="002773F7"/>
    <w:rsid w:val="003056CB"/>
    <w:rsid w:val="00324BA5"/>
    <w:rsid w:val="00326000"/>
    <w:rsid w:val="0032656C"/>
    <w:rsid w:val="00342880"/>
    <w:rsid w:val="003E5C66"/>
    <w:rsid w:val="003F62B6"/>
    <w:rsid w:val="00425B11"/>
    <w:rsid w:val="004D6484"/>
    <w:rsid w:val="004F1A76"/>
    <w:rsid w:val="00542473"/>
    <w:rsid w:val="005552C1"/>
    <w:rsid w:val="005F40E2"/>
    <w:rsid w:val="00613B10"/>
    <w:rsid w:val="006435A7"/>
    <w:rsid w:val="006502A4"/>
    <w:rsid w:val="00651013"/>
    <w:rsid w:val="006C581B"/>
    <w:rsid w:val="00714B0E"/>
    <w:rsid w:val="007C64A5"/>
    <w:rsid w:val="007D435F"/>
    <w:rsid w:val="00814666"/>
    <w:rsid w:val="00817FDD"/>
    <w:rsid w:val="00841EF6"/>
    <w:rsid w:val="0086735B"/>
    <w:rsid w:val="008D009F"/>
    <w:rsid w:val="008D374C"/>
    <w:rsid w:val="008F7DF4"/>
    <w:rsid w:val="00940C71"/>
    <w:rsid w:val="009554AA"/>
    <w:rsid w:val="00983309"/>
    <w:rsid w:val="009B11C7"/>
    <w:rsid w:val="00A002B6"/>
    <w:rsid w:val="00A0760E"/>
    <w:rsid w:val="00A6110C"/>
    <w:rsid w:val="00A7516E"/>
    <w:rsid w:val="00A948C7"/>
    <w:rsid w:val="00AE1A41"/>
    <w:rsid w:val="00B45575"/>
    <w:rsid w:val="00B851A3"/>
    <w:rsid w:val="00BA0E98"/>
    <w:rsid w:val="00C25DEB"/>
    <w:rsid w:val="00C71D75"/>
    <w:rsid w:val="00CB53E0"/>
    <w:rsid w:val="00CD1CBE"/>
    <w:rsid w:val="00DA3752"/>
    <w:rsid w:val="00DF645F"/>
    <w:rsid w:val="00E35E1A"/>
    <w:rsid w:val="00E371DB"/>
    <w:rsid w:val="00E4650C"/>
    <w:rsid w:val="00E530FC"/>
    <w:rsid w:val="00E578CA"/>
    <w:rsid w:val="00EB3DB9"/>
    <w:rsid w:val="00F04D66"/>
    <w:rsid w:val="00F149C9"/>
    <w:rsid w:val="00F40CF6"/>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2DA4"/>
  <w15:docId w15:val="{519E2080-86C1-4080-9267-C06CEC65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2</cp:revision>
  <dcterms:created xsi:type="dcterms:W3CDTF">2018-02-16T03:00:00Z</dcterms:created>
  <dcterms:modified xsi:type="dcterms:W3CDTF">2018-02-16T03:00:00Z</dcterms:modified>
</cp:coreProperties>
</file>